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B0A" w:rsidRDefault="003C2B0A" w:rsidP="00AA47AB">
      <w:pPr>
        <w:pStyle w:val="UoRTitle"/>
        <w:rPr>
          <w:noProof/>
          <w:color w:val="auto"/>
          <w:lang w:val="en-GB" w:eastAsia="en-GB"/>
        </w:rPr>
      </w:pPr>
    </w:p>
    <w:p w:rsidR="00AA47AB" w:rsidRPr="00742CAC" w:rsidRDefault="004C70AB" w:rsidP="00AA47AB">
      <w:pPr>
        <w:pStyle w:val="UoRTitle"/>
        <w:rPr>
          <w:noProof/>
          <w:color w:val="auto"/>
          <w:lang w:val="en-GB" w:eastAsia="en-GB"/>
        </w:rPr>
      </w:pPr>
      <w:r w:rsidRPr="00742CAC">
        <w:rPr>
          <w:noProof/>
          <w:color w:val="auto"/>
          <w:lang w:val="en-GB" w:eastAsia="en-GB"/>
        </w:rPr>
        <mc:AlternateContent>
          <mc:Choice Requires="wps">
            <w:drawing>
              <wp:anchor distT="0" distB="0" distL="114300" distR="114300" simplePos="0" relativeHeight="251657216" behindDoc="0" locked="0" layoutInCell="1" allowOverlap="1" wp14:anchorId="0901D701" wp14:editId="54CD1FE6">
                <wp:simplePos x="0" y="0"/>
                <wp:positionH relativeFrom="margin">
                  <wp:align>left</wp:align>
                </wp:positionH>
                <wp:positionV relativeFrom="topMargin">
                  <wp:align>bottom</wp:align>
                </wp:positionV>
                <wp:extent cx="2760980" cy="228600"/>
                <wp:effectExtent l="0" t="0" r="127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98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CA3" w:rsidRPr="0050246F" w:rsidRDefault="009E3CA3" w:rsidP="00AA47AB">
                            <w:pPr>
                              <w:pStyle w:val="UoRUnitname"/>
                            </w:pPr>
                            <w:r>
                              <w:t>Information Technology</w:t>
                            </w:r>
                          </w:p>
                          <w:p w:rsidR="009E3CA3" w:rsidRDefault="009E3CA3" w:rsidP="00AA47AB"/>
                          <w:p w:rsidR="009E3CA3" w:rsidRDefault="009E3CA3" w:rsidP="00AA47AB"/>
                          <w:p w:rsidR="009E3CA3" w:rsidRPr="0050246F" w:rsidRDefault="009E3CA3" w:rsidP="00AA47AB">
                            <w:pPr>
                              <w:pStyle w:val="UoRUnitname"/>
                            </w:pPr>
                            <w:r>
                              <w:t>Unit name goes here</w:t>
                            </w:r>
                          </w:p>
                          <w:p w:rsidR="009E3CA3" w:rsidRDefault="009E3CA3" w:rsidP="00AA47A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1D701" id="_x0000_t202" coordsize="21600,21600" o:spt="202" path="m,l,21600r21600,l21600,xe">
                <v:stroke joinstyle="miter"/>
                <v:path gradientshapeok="t" o:connecttype="rect"/>
              </v:shapetype>
              <v:shape id="Text Box 10" o:spid="_x0000_s1026" type="#_x0000_t202" style="position:absolute;margin-left:0;margin-top:0;width:217.4pt;height:18pt;z-index:251657216;visibility:visible;mso-wrap-style:square;mso-width-percent:0;mso-height-percent:0;mso-wrap-distance-left:9pt;mso-wrap-distance-top:0;mso-wrap-distance-right:9pt;mso-wrap-distance-bottom:0;mso-position-horizontal:left;mso-position-horizontal-relative:margin;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" stroked="f">
                <v:textbox inset="0,0,0,0">
                  <w:txbxContent>
                    <w:p w:rsidR="009E3CA3" w:rsidRPr="0050246F" w:rsidRDefault="009E3CA3" w:rsidP="00AA47AB">
                      <w:pPr>
                        <w:pStyle w:val="UoRUnitname"/>
                      </w:pPr>
                      <w:r>
                        <w:t>Information Technology</w:t>
                      </w:r>
                    </w:p>
                    <w:p w:rsidR="009E3CA3" w:rsidRDefault="009E3CA3" w:rsidP="00AA47AB"/>
                    <w:p w:rsidR="009E3CA3" w:rsidRDefault="009E3CA3" w:rsidP="00AA47AB"/>
                    <w:p w:rsidR="009E3CA3" w:rsidRPr="0050246F" w:rsidRDefault="009E3CA3" w:rsidP="00AA47AB">
                      <w:pPr>
                        <w:pStyle w:val="UoRUnitname"/>
                      </w:pPr>
                      <w:r>
                        <w:t>Unit name goes here</w:t>
                      </w:r>
                    </w:p>
                    <w:p w:rsidR="009E3CA3" w:rsidRDefault="009E3CA3" w:rsidP="00AA47AB"/>
                  </w:txbxContent>
                </v:textbox>
                <w10:wrap anchorx="margin" anchory="margin"/>
              </v:shape>
            </w:pict>
          </mc:Fallback>
        </mc:AlternateContent>
      </w:r>
      <w:r w:rsidR="00E6545B" w:rsidRPr="00742CAC">
        <w:rPr>
          <w:noProof/>
          <w:color w:val="auto"/>
          <w:lang w:val="en-GB" w:eastAsia="en-GB"/>
        </w:rPr>
        <w:drawing>
          <wp:anchor distT="0" distB="0" distL="114300" distR="114300" simplePos="0" relativeHeight="251659264" behindDoc="0" locked="0" layoutInCell="1" allowOverlap="1" wp14:anchorId="536EBCB9" wp14:editId="6D4041FD">
            <wp:simplePos x="0" y="0"/>
            <wp:positionH relativeFrom="page">
              <wp:posOffset>5581650</wp:posOffset>
            </wp:positionH>
            <wp:positionV relativeFrom="page">
              <wp:posOffset>469900</wp:posOffset>
            </wp:positionV>
            <wp:extent cx="1511935" cy="492125"/>
            <wp:effectExtent l="0" t="0" r="0" b="3175"/>
            <wp:wrapNone/>
            <wp:docPr id="5" name="Picture 34" descr="UR Devi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UR Device Out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935" cy="492125"/>
                    </a:xfrm>
                    <a:prstGeom prst="rect">
                      <a:avLst/>
                    </a:prstGeom>
                    <a:noFill/>
                  </pic:spPr>
                </pic:pic>
              </a:graphicData>
            </a:graphic>
            <wp14:sizeRelH relativeFrom="page">
              <wp14:pctWidth>0</wp14:pctWidth>
            </wp14:sizeRelH>
            <wp14:sizeRelV relativeFrom="page">
              <wp14:pctHeight>0</wp14:pctHeight>
            </wp14:sizeRelV>
          </wp:anchor>
        </w:drawing>
      </w:r>
      <w:r w:rsidR="00DB15A0" w:rsidRPr="00742CAC">
        <w:rPr>
          <w:noProof/>
          <w:color w:val="auto"/>
          <w:lang w:val="en-GB" w:eastAsia="en-GB"/>
        </w:rPr>
        <w:t xml:space="preserve">Policy on Extending </w:t>
      </w:r>
      <w:r w:rsidR="00C715E3">
        <w:rPr>
          <w:noProof/>
          <w:color w:val="auto"/>
          <w:lang w:val="en-GB" w:eastAsia="en-GB"/>
        </w:rPr>
        <w:t xml:space="preserve">Staff </w:t>
      </w:r>
      <w:r w:rsidR="00DB15A0" w:rsidRPr="00742CAC">
        <w:rPr>
          <w:noProof/>
          <w:color w:val="auto"/>
          <w:lang w:val="en-GB" w:eastAsia="en-GB"/>
        </w:rPr>
        <w:t>User Accounts</w:t>
      </w:r>
    </w:p>
    <w:p w:rsidR="00DB15A0" w:rsidRPr="00742CAC" w:rsidRDefault="00DB15A0" w:rsidP="00DB15A0"/>
    <w:p w:rsidR="00DB15A0" w:rsidRPr="00742CAC" w:rsidRDefault="00DB15A0" w:rsidP="00DB15A0">
      <w:pPr>
        <w:pStyle w:val="Heading2"/>
        <w:numPr>
          <w:ilvl w:val="0"/>
          <w:numId w:val="15"/>
        </w:numPr>
        <w:rPr>
          <w:color w:val="auto"/>
        </w:rPr>
      </w:pPr>
      <w:r w:rsidRPr="00742CAC">
        <w:rPr>
          <w:color w:val="auto"/>
        </w:rPr>
        <w:t>Purpose</w:t>
      </w:r>
    </w:p>
    <w:p w:rsidR="00DB15A0" w:rsidRPr="00742CAC" w:rsidRDefault="00DB15A0" w:rsidP="00DB15A0">
      <w:pPr>
        <w:pStyle w:val="ListParagraph"/>
        <w:numPr>
          <w:ilvl w:val="1"/>
          <w:numId w:val="15"/>
        </w:numPr>
        <w:rPr>
          <w:lang w:eastAsia="en-US"/>
        </w:rPr>
      </w:pPr>
      <w:r w:rsidRPr="00742CAC">
        <w:rPr>
          <w:lang w:eastAsia="en-US"/>
        </w:rPr>
        <w:t>This document sets out the policy governing the extension of staff accounts beyond the employment of a member of staff at the University and the circumstances in which it is appropriate to extend an employee’s account.</w:t>
      </w:r>
    </w:p>
    <w:p w:rsidR="00DB15A0" w:rsidRPr="00742CAC" w:rsidRDefault="00DB15A0" w:rsidP="00DB15A0">
      <w:pPr>
        <w:pStyle w:val="ListParagraph"/>
        <w:numPr>
          <w:ilvl w:val="1"/>
          <w:numId w:val="15"/>
        </w:numPr>
        <w:rPr>
          <w:lang w:eastAsia="en-US"/>
        </w:rPr>
      </w:pPr>
      <w:r w:rsidRPr="00742CAC">
        <w:rPr>
          <w:lang w:eastAsia="en-US"/>
        </w:rPr>
        <w:t>It aims to ensure that the University does not find itself at risk due to the accounts be</w:t>
      </w:r>
      <w:r w:rsidR="00685BD1">
        <w:rPr>
          <w:lang w:eastAsia="en-US"/>
        </w:rPr>
        <w:t>ing extended</w:t>
      </w:r>
      <w:r w:rsidRPr="00742CAC">
        <w:rPr>
          <w:lang w:eastAsia="en-US"/>
        </w:rPr>
        <w:t xml:space="preserve"> when there is no good reason</w:t>
      </w:r>
      <w:r w:rsidR="00685BD1">
        <w:rPr>
          <w:lang w:eastAsia="en-US"/>
        </w:rPr>
        <w:t>.</w:t>
      </w:r>
    </w:p>
    <w:p w:rsidR="00DB15A0" w:rsidRPr="00742CAC" w:rsidRDefault="00DB15A0" w:rsidP="00DB15A0">
      <w:pPr>
        <w:pStyle w:val="ListParagraph"/>
        <w:numPr>
          <w:ilvl w:val="1"/>
          <w:numId w:val="15"/>
        </w:numPr>
        <w:rPr>
          <w:lang w:eastAsia="en-US"/>
        </w:rPr>
      </w:pPr>
      <w:r w:rsidRPr="00742CAC">
        <w:rPr>
          <w:lang w:eastAsia="en-US"/>
        </w:rPr>
        <w:t>It covers the types of data that should normally be accessed by a staff member when beyond the scope of their employment</w:t>
      </w:r>
      <w:r w:rsidR="00685BD1">
        <w:rPr>
          <w:lang w:eastAsia="en-US"/>
        </w:rPr>
        <w:t>.</w:t>
      </w:r>
    </w:p>
    <w:p w:rsidR="00DB15A0" w:rsidRPr="00742CAC" w:rsidRDefault="0067781B" w:rsidP="0067781B">
      <w:pPr>
        <w:pStyle w:val="Heading2"/>
        <w:numPr>
          <w:ilvl w:val="0"/>
          <w:numId w:val="15"/>
        </w:numPr>
        <w:rPr>
          <w:color w:val="auto"/>
        </w:rPr>
      </w:pPr>
      <w:r w:rsidRPr="00742CAC">
        <w:rPr>
          <w:color w:val="auto"/>
        </w:rPr>
        <w:t>Why is this policy is important</w:t>
      </w:r>
    </w:p>
    <w:p w:rsidR="0067781B" w:rsidRPr="00742CAC" w:rsidRDefault="0067781B" w:rsidP="0067781B">
      <w:pPr>
        <w:pStyle w:val="ListParagraph"/>
        <w:numPr>
          <w:ilvl w:val="1"/>
          <w:numId w:val="15"/>
        </w:numPr>
        <w:rPr>
          <w:lang w:eastAsia="en-US"/>
        </w:rPr>
      </w:pPr>
      <w:r w:rsidRPr="00742CAC">
        <w:rPr>
          <w:lang w:eastAsia="en-US"/>
        </w:rPr>
        <w:t>This policy is designed to protect the University by ensuring that people do not have access to resources or data that i</w:t>
      </w:r>
      <w:r w:rsidR="00742CAC" w:rsidRPr="00742CAC">
        <w:rPr>
          <w:lang w:eastAsia="en-US"/>
        </w:rPr>
        <w:t>s not covered by a University</w:t>
      </w:r>
      <w:r w:rsidRPr="00742CAC">
        <w:rPr>
          <w:lang w:eastAsia="en-US"/>
        </w:rPr>
        <w:t xml:space="preserve"> business contract.</w:t>
      </w:r>
    </w:p>
    <w:p w:rsidR="0067781B" w:rsidRPr="00742CAC" w:rsidRDefault="0067781B" w:rsidP="0067781B">
      <w:pPr>
        <w:pStyle w:val="ListParagraph"/>
        <w:numPr>
          <w:ilvl w:val="1"/>
          <w:numId w:val="15"/>
        </w:numPr>
        <w:rPr>
          <w:lang w:eastAsia="en-US"/>
        </w:rPr>
      </w:pPr>
      <w:r w:rsidRPr="00742CAC">
        <w:rPr>
          <w:lang w:eastAsia="en-US"/>
        </w:rPr>
        <w:t>The policy is provided to ensure that licence costs for provided software are only available for those who are entitled to them</w:t>
      </w:r>
      <w:r w:rsidR="00685BD1">
        <w:rPr>
          <w:lang w:eastAsia="en-US"/>
        </w:rPr>
        <w:t>.</w:t>
      </w:r>
    </w:p>
    <w:p w:rsidR="0067781B" w:rsidRPr="00742CAC" w:rsidRDefault="0067781B" w:rsidP="0067781B">
      <w:pPr>
        <w:pStyle w:val="ListParagraph"/>
        <w:numPr>
          <w:ilvl w:val="1"/>
          <w:numId w:val="15"/>
        </w:numPr>
        <w:rPr>
          <w:lang w:eastAsia="en-US"/>
        </w:rPr>
      </w:pPr>
      <w:r w:rsidRPr="00742CAC">
        <w:rPr>
          <w:lang w:eastAsia="en-US"/>
        </w:rPr>
        <w:t>The policy also ensures that there are routes when a staff account may be extended, and to ensure that the process that governs this is clear and transparent.</w:t>
      </w:r>
    </w:p>
    <w:p w:rsidR="0067781B" w:rsidRPr="00742CAC" w:rsidRDefault="0067781B" w:rsidP="0067781B">
      <w:pPr>
        <w:pStyle w:val="Heading2"/>
        <w:numPr>
          <w:ilvl w:val="0"/>
          <w:numId w:val="15"/>
        </w:numPr>
        <w:rPr>
          <w:color w:val="auto"/>
        </w:rPr>
      </w:pPr>
      <w:r w:rsidRPr="00742CAC">
        <w:rPr>
          <w:color w:val="auto"/>
        </w:rPr>
        <w:t>Scope</w:t>
      </w:r>
    </w:p>
    <w:p w:rsidR="0067781B" w:rsidRPr="00742CAC" w:rsidRDefault="0067781B" w:rsidP="0067781B">
      <w:pPr>
        <w:pStyle w:val="ListParagraph"/>
        <w:numPr>
          <w:ilvl w:val="1"/>
          <w:numId w:val="15"/>
        </w:numPr>
        <w:rPr>
          <w:lang w:eastAsia="en-US"/>
        </w:rPr>
      </w:pPr>
      <w:r w:rsidRPr="00742CAC">
        <w:rPr>
          <w:lang w:eastAsia="en-US"/>
        </w:rPr>
        <w:t>This applies to all University staff accounts that are provisioned through the creation of a staff record in the HR system.</w:t>
      </w:r>
    </w:p>
    <w:p w:rsidR="0067781B" w:rsidRPr="00742CAC" w:rsidRDefault="0067781B" w:rsidP="0067781B">
      <w:pPr>
        <w:pStyle w:val="ListParagraph"/>
        <w:numPr>
          <w:ilvl w:val="1"/>
          <w:numId w:val="15"/>
        </w:numPr>
        <w:rPr>
          <w:lang w:eastAsia="en-US"/>
        </w:rPr>
      </w:pPr>
      <w:r w:rsidRPr="00742CAC">
        <w:rPr>
          <w:lang w:eastAsia="en-US"/>
        </w:rPr>
        <w:t>This policy does n</w:t>
      </w:r>
      <w:r w:rsidR="00DB724A">
        <w:rPr>
          <w:lang w:eastAsia="en-US"/>
        </w:rPr>
        <w:t>ot cover e</w:t>
      </w:r>
      <w:r w:rsidRPr="00742CAC">
        <w:rPr>
          <w:lang w:eastAsia="en-US"/>
        </w:rPr>
        <w:t xml:space="preserve">xternal accounts (those that are created in the </w:t>
      </w:r>
      <w:proofErr w:type="spellStart"/>
      <w:r w:rsidRPr="00742CAC">
        <w:rPr>
          <w:lang w:eastAsia="en-US"/>
        </w:rPr>
        <w:t>IdAM</w:t>
      </w:r>
      <w:proofErr w:type="spellEnd"/>
      <w:r w:rsidRPr="00742CAC">
        <w:rPr>
          <w:lang w:eastAsia="en-US"/>
        </w:rPr>
        <w:t xml:space="preserve"> system for the purposes of use by external agencies) or student accounts (those that are provisioned for use by Undergraduate and Postgraduate students through the creation of records in the Student Information System)</w:t>
      </w:r>
      <w:r w:rsidR="00685BD1">
        <w:rPr>
          <w:lang w:eastAsia="en-US"/>
        </w:rPr>
        <w:t>.</w:t>
      </w:r>
    </w:p>
    <w:p w:rsidR="0067781B" w:rsidRPr="00742CAC" w:rsidRDefault="0067781B" w:rsidP="0067781B">
      <w:pPr>
        <w:pStyle w:val="Heading2"/>
        <w:numPr>
          <w:ilvl w:val="0"/>
          <w:numId w:val="15"/>
        </w:numPr>
        <w:rPr>
          <w:color w:val="auto"/>
        </w:rPr>
      </w:pPr>
      <w:r w:rsidRPr="00742CAC">
        <w:rPr>
          <w:color w:val="auto"/>
        </w:rPr>
        <w:t>Policy Statement</w:t>
      </w:r>
    </w:p>
    <w:p w:rsidR="004C70AB" w:rsidRPr="00742CAC" w:rsidRDefault="004C70AB" w:rsidP="003A29BC">
      <w:pPr>
        <w:pStyle w:val="ListParagraph"/>
        <w:numPr>
          <w:ilvl w:val="1"/>
          <w:numId w:val="15"/>
        </w:numPr>
        <w:rPr>
          <w:lang w:eastAsia="en-US"/>
        </w:rPr>
      </w:pPr>
      <w:r w:rsidRPr="00742CAC">
        <w:rPr>
          <w:lang w:eastAsia="en-US"/>
        </w:rPr>
        <w:t>It is normally expected that a staff account is closed once the member of staff has stopped being employed by the University of Reading</w:t>
      </w:r>
      <w:r w:rsidR="003C2B0A">
        <w:rPr>
          <w:lang w:eastAsia="en-US"/>
        </w:rPr>
        <w:t>.</w:t>
      </w:r>
    </w:p>
    <w:p w:rsidR="0067781B" w:rsidRPr="00742CAC" w:rsidRDefault="003A29BC" w:rsidP="003A29BC">
      <w:pPr>
        <w:pStyle w:val="ListParagraph"/>
        <w:numPr>
          <w:ilvl w:val="1"/>
          <w:numId w:val="15"/>
        </w:numPr>
        <w:rPr>
          <w:lang w:eastAsia="en-US"/>
        </w:rPr>
      </w:pPr>
      <w:r w:rsidRPr="00742CAC">
        <w:rPr>
          <w:lang w:eastAsia="en-US"/>
        </w:rPr>
        <w:t>There are a number of reasons why staff accounts can be extended beyond the lifetime of the contract of employment. These are:</w:t>
      </w:r>
    </w:p>
    <w:p w:rsidR="003A29BC" w:rsidRPr="00742CAC" w:rsidRDefault="003A29BC" w:rsidP="003A29BC">
      <w:pPr>
        <w:pStyle w:val="ListParagraph"/>
        <w:numPr>
          <w:ilvl w:val="2"/>
          <w:numId w:val="15"/>
        </w:numPr>
        <w:rPr>
          <w:lang w:eastAsia="en-US"/>
        </w:rPr>
      </w:pPr>
      <w:r w:rsidRPr="00742CAC">
        <w:rPr>
          <w:lang w:eastAsia="en-US"/>
        </w:rPr>
        <w:t>Emeritus Professors</w:t>
      </w:r>
      <w:r w:rsidR="00240765" w:rsidRPr="00742CAC">
        <w:rPr>
          <w:lang w:eastAsia="en-US"/>
        </w:rPr>
        <w:t xml:space="preserve"> (considered to include Professor Emerita and Honorary Fellow) </w:t>
      </w:r>
    </w:p>
    <w:p w:rsidR="003A29BC" w:rsidRPr="00742CAC" w:rsidRDefault="003A29BC" w:rsidP="003A29BC">
      <w:pPr>
        <w:pStyle w:val="ListParagraph"/>
        <w:numPr>
          <w:ilvl w:val="2"/>
          <w:numId w:val="15"/>
        </w:numPr>
        <w:rPr>
          <w:lang w:eastAsia="en-US"/>
        </w:rPr>
      </w:pPr>
      <w:r w:rsidRPr="00742CAC">
        <w:rPr>
          <w:lang w:eastAsia="en-US"/>
        </w:rPr>
        <w:t>Visiting Fellows</w:t>
      </w:r>
      <w:r w:rsidR="00240765" w:rsidRPr="00742CAC">
        <w:rPr>
          <w:lang w:eastAsia="en-US"/>
        </w:rPr>
        <w:t xml:space="preserve"> (considered to include Visiting Research Fellow and Executive Fellow)</w:t>
      </w:r>
    </w:p>
    <w:p w:rsidR="003A29BC" w:rsidRPr="00742CAC" w:rsidRDefault="00240765" w:rsidP="003A29BC">
      <w:pPr>
        <w:pStyle w:val="ListParagraph"/>
        <w:numPr>
          <w:ilvl w:val="2"/>
          <w:numId w:val="15"/>
        </w:numPr>
        <w:rPr>
          <w:lang w:eastAsia="en-US"/>
        </w:rPr>
      </w:pPr>
      <w:r w:rsidRPr="00742CAC">
        <w:rPr>
          <w:lang w:eastAsia="en-US"/>
        </w:rPr>
        <w:t>Those continuing to work on Research Projects after they have left the University</w:t>
      </w:r>
    </w:p>
    <w:p w:rsidR="00240765" w:rsidRPr="00742CAC" w:rsidRDefault="00240765" w:rsidP="00240765">
      <w:pPr>
        <w:pStyle w:val="ListParagraph"/>
        <w:numPr>
          <w:ilvl w:val="1"/>
          <w:numId w:val="15"/>
        </w:numPr>
        <w:rPr>
          <w:lang w:eastAsia="en-US"/>
        </w:rPr>
      </w:pPr>
      <w:r w:rsidRPr="00742CAC">
        <w:rPr>
          <w:lang w:eastAsia="en-US"/>
        </w:rPr>
        <w:t>The process for conferring the titles in 4</w:t>
      </w:r>
      <w:r w:rsidR="00CF654D" w:rsidRPr="00742CAC">
        <w:rPr>
          <w:lang w:eastAsia="en-US"/>
        </w:rPr>
        <w:t>.</w:t>
      </w:r>
      <w:r w:rsidR="00685BD1">
        <w:rPr>
          <w:lang w:eastAsia="en-US"/>
        </w:rPr>
        <w:t>b</w:t>
      </w:r>
      <w:r w:rsidR="00CF654D" w:rsidRPr="00742CAC">
        <w:rPr>
          <w:lang w:eastAsia="en-US"/>
        </w:rPr>
        <w:t>.</w:t>
      </w:r>
      <w:r w:rsidRPr="00742CAC">
        <w:rPr>
          <w:lang w:eastAsia="en-US"/>
        </w:rPr>
        <w:t>i and 4</w:t>
      </w:r>
      <w:r w:rsidR="00CF654D" w:rsidRPr="00742CAC">
        <w:rPr>
          <w:lang w:eastAsia="en-US"/>
        </w:rPr>
        <w:t>.</w:t>
      </w:r>
      <w:r w:rsidR="00685BD1">
        <w:rPr>
          <w:lang w:eastAsia="en-US"/>
        </w:rPr>
        <w:t>b</w:t>
      </w:r>
      <w:r w:rsidR="00CF654D" w:rsidRPr="00742CAC">
        <w:rPr>
          <w:lang w:eastAsia="en-US"/>
        </w:rPr>
        <w:t>.</w:t>
      </w:r>
      <w:r w:rsidRPr="00742CAC">
        <w:rPr>
          <w:lang w:eastAsia="en-US"/>
        </w:rPr>
        <w:t>ii above are documented in the “</w:t>
      </w:r>
      <w:hyperlink r:id="rId9" w:history="1">
        <w:r w:rsidRPr="009F7642">
          <w:rPr>
            <w:rStyle w:val="Hyperlink"/>
          </w:rPr>
          <w:t>Visiting and Courtesy Titles Procedure</w:t>
        </w:r>
      </w:hyperlink>
      <w:r w:rsidRPr="00742CAC">
        <w:t xml:space="preserve">”. The extension process is undertaken by the Middleware team on being notified by Academic </w:t>
      </w:r>
      <w:r w:rsidR="003C2B0A">
        <w:t xml:space="preserve">and </w:t>
      </w:r>
      <w:r w:rsidRPr="00742CAC">
        <w:t xml:space="preserve">Governance </w:t>
      </w:r>
      <w:r w:rsidR="009F7642">
        <w:t>Services</w:t>
      </w:r>
      <w:r w:rsidR="003C2B0A">
        <w:t xml:space="preserve"> (AGS).</w:t>
      </w:r>
    </w:p>
    <w:p w:rsidR="00240765" w:rsidRPr="00742CAC" w:rsidRDefault="00240765" w:rsidP="00240765">
      <w:pPr>
        <w:pStyle w:val="ListParagraph"/>
        <w:numPr>
          <w:ilvl w:val="2"/>
          <w:numId w:val="15"/>
        </w:numPr>
        <w:rPr>
          <w:lang w:eastAsia="en-US"/>
        </w:rPr>
      </w:pPr>
      <w:r w:rsidRPr="00742CAC">
        <w:t xml:space="preserve">These accounts will be maintained as long as the </w:t>
      </w:r>
      <w:r w:rsidR="00742CAC" w:rsidRPr="00742CAC">
        <w:t>honorary title</w:t>
      </w:r>
      <w:r w:rsidRPr="00742CAC">
        <w:t xml:space="preserve"> </w:t>
      </w:r>
      <w:r w:rsidR="009E3CA3" w:rsidRPr="00742CAC">
        <w:t>is held</w:t>
      </w:r>
      <w:r w:rsidR="008E6A26">
        <w:t>.</w:t>
      </w:r>
      <w:r w:rsidR="0081705F">
        <w:t xml:space="preserve"> The individual holding the honorary title will be required to agree to use the account as set out </w:t>
      </w:r>
      <w:r w:rsidR="00601B4D">
        <w:t xml:space="preserve">in (h) </w:t>
      </w:r>
      <w:r w:rsidR="0081705F">
        <w:t>below.</w:t>
      </w:r>
    </w:p>
    <w:p w:rsidR="004C70AB" w:rsidRPr="00742CAC" w:rsidRDefault="00393DBA" w:rsidP="004C70AB">
      <w:pPr>
        <w:pStyle w:val="ListParagraph"/>
        <w:numPr>
          <w:ilvl w:val="1"/>
          <w:numId w:val="15"/>
        </w:numPr>
        <w:rPr>
          <w:lang w:eastAsia="en-US"/>
        </w:rPr>
      </w:pPr>
      <w:r w:rsidRPr="00742CAC">
        <w:rPr>
          <w:lang w:eastAsia="en-US"/>
        </w:rPr>
        <w:t xml:space="preserve">Research Assistants will frequently continue to collaborate on a project once they have stopped working for the University of Reading. In these </w:t>
      </w:r>
      <w:r w:rsidR="00CF654D" w:rsidRPr="00742CAC">
        <w:rPr>
          <w:lang w:eastAsia="en-US"/>
        </w:rPr>
        <w:t>instances,</w:t>
      </w:r>
      <w:r w:rsidRPr="00742CAC">
        <w:rPr>
          <w:lang w:eastAsia="en-US"/>
        </w:rPr>
        <w:t xml:space="preserve"> the staff account can be extended to ensure that legitimate resources are still available for their use. These resources are: account records, </w:t>
      </w:r>
      <w:r w:rsidR="00CF654D" w:rsidRPr="00742CAC">
        <w:rPr>
          <w:lang w:eastAsia="en-US"/>
        </w:rPr>
        <w:t>storage systems, compute clusters and email accounts.</w:t>
      </w:r>
    </w:p>
    <w:p w:rsidR="004C70AB" w:rsidRPr="00742CAC" w:rsidRDefault="004C70AB" w:rsidP="004C70AB">
      <w:pPr>
        <w:pStyle w:val="ListParagraph"/>
        <w:numPr>
          <w:ilvl w:val="1"/>
          <w:numId w:val="15"/>
        </w:numPr>
        <w:rPr>
          <w:lang w:eastAsia="en-US"/>
        </w:rPr>
      </w:pPr>
      <w:r w:rsidRPr="00742CAC">
        <w:rPr>
          <w:lang w:eastAsia="en-US"/>
        </w:rPr>
        <w:t>Access to all corporate systems must be removed as a matter of course. For all user account types that are extended beyond the length of the employment contract, access to personally identifiable data and highly sensitive data should be removed.</w:t>
      </w:r>
      <w:r w:rsidR="0081705F">
        <w:rPr>
          <w:lang w:eastAsia="en-US"/>
        </w:rPr>
        <w:t xml:space="preserve"> If such access is required, advice should be sought to ensure that the appropriate contractual arrangements are put in place to protect the University and ensure any obligations concerning that personal data are met.</w:t>
      </w:r>
      <w:r w:rsidRPr="00742CAC">
        <w:rPr>
          <w:lang w:eastAsia="en-US"/>
        </w:rPr>
        <w:t xml:space="preserve"> </w:t>
      </w:r>
    </w:p>
    <w:p w:rsidR="00CF654D" w:rsidRPr="00742CAC" w:rsidRDefault="00CF654D" w:rsidP="003A29BC">
      <w:pPr>
        <w:pStyle w:val="ListParagraph"/>
        <w:numPr>
          <w:ilvl w:val="1"/>
          <w:numId w:val="15"/>
        </w:numPr>
        <w:rPr>
          <w:lang w:eastAsia="en-US"/>
        </w:rPr>
      </w:pPr>
      <w:r w:rsidRPr="00742CAC">
        <w:rPr>
          <w:lang w:eastAsia="en-US"/>
        </w:rPr>
        <w:t>The process for the extensio</w:t>
      </w:r>
      <w:r w:rsidR="00685BD1">
        <w:rPr>
          <w:lang w:eastAsia="en-US"/>
        </w:rPr>
        <w:t>n of accounts that fall into 4.b</w:t>
      </w:r>
      <w:r w:rsidRPr="00742CAC">
        <w:rPr>
          <w:lang w:eastAsia="en-US"/>
        </w:rPr>
        <w:t>.iii should be done through the University Identity and Access Management system</w:t>
      </w:r>
      <w:r w:rsidR="0081705F">
        <w:rPr>
          <w:lang w:eastAsia="en-US"/>
        </w:rPr>
        <w:t xml:space="preserve"> and will be managed by IT</w:t>
      </w:r>
      <w:r w:rsidRPr="00742CAC">
        <w:rPr>
          <w:lang w:eastAsia="en-US"/>
        </w:rPr>
        <w:t xml:space="preserve">. Accounts should only be extended for as long as they are needed </w:t>
      </w:r>
      <w:r w:rsidR="00742CAC" w:rsidRPr="00742CAC">
        <w:rPr>
          <w:lang w:eastAsia="en-US"/>
        </w:rPr>
        <w:t>for a maximum of 6 months</w:t>
      </w:r>
      <w:r w:rsidRPr="00742CAC">
        <w:rPr>
          <w:lang w:eastAsia="en-US"/>
        </w:rPr>
        <w:t xml:space="preserve">. </w:t>
      </w:r>
    </w:p>
    <w:p w:rsidR="001E773C" w:rsidRDefault="00CF654D" w:rsidP="001E773C">
      <w:pPr>
        <w:pStyle w:val="ListParagraph"/>
        <w:numPr>
          <w:ilvl w:val="1"/>
          <w:numId w:val="15"/>
        </w:numPr>
        <w:rPr>
          <w:lang w:eastAsia="en-US"/>
        </w:rPr>
      </w:pPr>
      <w:r w:rsidRPr="00742CAC">
        <w:rPr>
          <w:lang w:eastAsia="en-US"/>
        </w:rPr>
        <w:t xml:space="preserve">If an account extension beyond 6 months is needed then this should be raised through the Service Desk tool and raised as a </w:t>
      </w:r>
      <w:proofErr w:type="spellStart"/>
      <w:r w:rsidRPr="00742CAC">
        <w:rPr>
          <w:lang w:eastAsia="en-US"/>
        </w:rPr>
        <w:t>Requestable</w:t>
      </w:r>
      <w:proofErr w:type="spellEnd"/>
      <w:r w:rsidRPr="00742CAC">
        <w:rPr>
          <w:lang w:eastAsia="en-US"/>
        </w:rPr>
        <w:t xml:space="preserve"> Item and is subject to approval by the Director of IT.</w:t>
      </w:r>
    </w:p>
    <w:p w:rsidR="0081705F" w:rsidRPr="00742CAC" w:rsidRDefault="0081705F" w:rsidP="001E773C">
      <w:pPr>
        <w:pStyle w:val="ListParagraph"/>
        <w:numPr>
          <w:ilvl w:val="1"/>
          <w:numId w:val="15"/>
        </w:numPr>
        <w:rPr>
          <w:lang w:eastAsia="en-US"/>
        </w:rPr>
      </w:pPr>
      <w:r>
        <w:rPr>
          <w:lang w:eastAsia="en-US"/>
        </w:rPr>
        <w:t xml:space="preserve">In any circumstances where a staff user account is extended, the individual must agree to comply with the University’s Information Compliance Policies and </w:t>
      </w:r>
      <w:r w:rsidR="00601B4D">
        <w:rPr>
          <w:lang w:eastAsia="en-US"/>
        </w:rPr>
        <w:t>the Regulations for the Use of the University’s IT Facilities and Systems, as well as appropriate confidentiality obligations.</w:t>
      </w:r>
    </w:p>
    <w:p w:rsidR="001E773C" w:rsidRPr="00742CAC" w:rsidRDefault="001E773C" w:rsidP="001E773C">
      <w:pPr>
        <w:pStyle w:val="Heading2"/>
        <w:numPr>
          <w:ilvl w:val="0"/>
          <w:numId w:val="15"/>
        </w:numPr>
        <w:rPr>
          <w:color w:val="auto"/>
        </w:rPr>
      </w:pPr>
      <w:r w:rsidRPr="00742CAC">
        <w:rPr>
          <w:color w:val="auto"/>
        </w:rPr>
        <w:t>Process</w:t>
      </w:r>
    </w:p>
    <w:p w:rsidR="001E773C" w:rsidRPr="00742CAC" w:rsidRDefault="001E773C" w:rsidP="001E773C">
      <w:pPr>
        <w:pStyle w:val="ListParagraph"/>
        <w:numPr>
          <w:ilvl w:val="1"/>
          <w:numId w:val="15"/>
        </w:numPr>
        <w:rPr>
          <w:lang w:eastAsia="en-US"/>
        </w:rPr>
      </w:pPr>
      <w:r w:rsidRPr="00742CAC">
        <w:rPr>
          <w:lang w:eastAsia="en-US"/>
        </w:rPr>
        <w:t>To enable an account to be extended, the line manager of the member of staff will request an extension using the University supplied Identity and Access Management system</w:t>
      </w:r>
    </w:p>
    <w:p w:rsidR="001E773C" w:rsidRPr="00742CAC" w:rsidRDefault="001E773C" w:rsidP="001E773C">
      <w:pPr>
        <w:pStyle w:val="ListParagraph"/>
        <w:numPr>
          <w:ilvl w:val="1"/>
          <w:numId w:val="15"/>
        </w:numPr>
        <w:rPr>
          <w:lang w:eastAsia="en-US"/>
        </w:rPr>
      </w:pPr>
      <w:r w:rsidRPr="00742CAC">
        <w:rPr>
          <w:lang w:eastAsia="en-US"/>
        </w:rPr>
        <w:t xml:space="preserve">This request will then </w:t>
      </w:r>
      <w:r w:rsidR="00657F6C" w:rsidRPr="00742CAC">
        <w:rPr>
          <w:lang w:eastAsia="en-US"/>
        </w:rPr>
        <w:t>be passed for approval to the nominated approver, normally the Head of School or Head of Function (or their nominee).</w:t>
      </w:r>
    </w:p>
    <w:p w:rsidR="00657F6C" w:rsidRDefault="00657F6C" w:rsidP="00657F6C">
      <w:pPr>
        <w:pStyle w:val="ListParagraph"/>
        <w:numPr>
          <w:ilvl w:val="1"/>
          <w:numId w:val="15"/>
        </w:numPr>
        <w:rPr>
          <w:lang w:eastAsia="en-US"/>
        </w:rPr>
      </w:pPr>
      <w:r w:rsidRPr="00742CAC">
        <w:rPr>
          <w:lang w:eastAsia="en-US"/>
        </w:rPr>
        <w:t>Once approval is granted the account will be extended by the length of time requested</w:t>
      </w:r>
      <w:r w:rsidR="00742CAC" w:rsidRPr="00742CAC">
        <w:rPr>
          <w:lang w:eastAsia="en-US"/>
        </w:rPr>
        <w:t>, up to a maximum of 6 months</w:t>
      </w:r>
      <w:r w:rsidRPr="00742CAC">
        <w:rPr>
          <w:lang w:eastAsia="en-US"/>
        </w:rPr>
        <w:t>. This process will occur overnight and if the account has already been disabled may require a password reset.</w:t>
      </w:r>
    </w:p>
    <w:p w:rsidR="00A9073C" w:rsidRPr="00B41450" w:rsidRDefault="00A9073C" w:rsidP="00A9073C">
      <w:pPr>
        <w:pStyle w:val="Heading2"/>
      </w:pPr>
      <w:bookmarkStart w:id="0" w:name="_Toc411949769"/>
      <w:bookmarkStart w:id="1" w:name="_Toc436315043"/>
      <w:r>
        <w:t>Document</w:t>
      </w:r>
      <w:r w:rsidRPr="00B41450">
        <w:t xml:space="preserve"> control</w:t>
      </w:r>
      <w:bookmarkEnd w:id="0"/>
      <w:bookmarkEnd w:id="1"/>
    </w:p>
    <w:tbl>
      <w:tblPr>
        <w:tblStyle w:val="UoRTable"/>
        <w:tblW w:w="9627" w:type="dxa"/>
        <w:tblLayout w:type="fixed"/>
        <w:tblLook w:val="04A0" w:firstRow="1" w:lastRow="0" w:firstColumn="1" w:lastColumn="0" w:noHBand="0" w:noVBand="1"/>
      </w:tblPr>
      <w:tblGrid>
        <w:gridCol w:w="1134"/>
        <w:gridCol w:w="1134"/>
        <w:gridCol w:w="142"/>
        <w:gridCol w:w="1134"/>
        <w:gridCol w:w="1276"/>
        <w:gridCol w:w="1418"/>
        <w:gridCol w:w="1417"/>
        <w:gridCol w:w="992"/>
        <w:gridCol w:w="980"/>
      </w:tblGrid>
      <w:tr w:rsidR="00A9073C" w:rsidTr="003C2B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rsidR="00A9073C" w:rsidRPr="001D6404" w:rsidRDefault="00A9073C" w:rsidP="00AF2C1C">
            <w:pPr>
              <w:spacing w:before="0" w:line="240" w:lineRule="auto"/>
              <w:rPr>
                <w:b w:val="0"/>
                <w:caps w:val="0"/>
              </w:rPr>
            </w:pPr>
            <w:r w:rsidRPr="001D6404">
              <w:t xml:space="preserve">Version </w:t>
            </w:r>
          </w:p>
        </w:tc>
        <w:tc>
          <w:tcPr>
            <w:tcW w:w="1134" w:type="dxa"/>
          </w:tcPr>
          <w:p w:rsidR="00A9073C" w:rsidRPr="001D6404" w:rsidRDefault="00A9073C" w:rsidP="00AF2C1C">
            <w:pPr>
              <w:spacing w:before="0" w:line="240" w:lineRule="auto"/>
              <w:cnfStyle w:val="100000000000" w:firstRow="1" w:lastRow="0" w:firstColumn="0" w:lastColumn="0" w:oddVBand="0" w:evenVBand="0" w:oddHBand="0" w:evenHBand="0" w:firstRowFirstColumn="0" w:firstRowLastColumn="0" w:lastRowFirstColumn="0" w:lastRowLastColumn="0"/>
            </w:pPr>
            <w:r>
              <w:t>section</w:t>
            </w:r>
          </w:p>
        </w:tc>
        <w:tc>
          <w:tcPr>
            <w:tcW w:w="1276" w:type="dxa"/>
            <w:gridSpan w:val="2"/>
          </w:tcPr>
          <w:p w:rsidR="00A9073C" w:rsidRPr="001D6404" w:rsidRDefault="00A9073C" w:rsidP="00AF2C1C">
            <w:pPr>
              <w:spacing w:before="0" w:line="240" w:lineRule="auto"/>
              <w:cnfStyle w:val="100000000000" w:firstRow="1" w:lastRow="0" w:firstColumn="0" w:lastColumn="0" w:oddVBand="0" w:evenVBand="0" w:oddHBand="0" w:evenHBand="0" w:firstRowFirstColumn="0" w:firstRowLastColumn="0" w:lastRowFirstColumn="0" w:lastRowLastColumn="0"/>
              <w:rPr>
                <w:b w:val="0"/>
                <w:caps w:val="0"/>
              </w:rPr>
            </w:pPr>
            <w:r w:rsidRPr="001D6404">
              <w:t>Keeper</w:t>
            </w:r>
          </w:p>
        </w:tc>
        <w:tc>
          <w:tcPr>
            <w:tcW w:w="1276" w:type="dxa"/>
          </w:tcPr>
          <w:p w:rsidR="00A9073C" w:rsidRPr="001D6404" w:rsidRDefault="00A9073C" w:rsidP="00AF2C1C">
            <w:pPr>
              <w:spacing w:before="0" w:line="240" w:lineRule="auto"/>
              <w:cnfStyle w:val="100000000000" w:firstRow="1" w:lastRow="0" w:firstColumn="0" w:lastColumn="0" w:oddVBand="0" w:evenVBand="0" w:oddHBand="0" w:evenHBand="0" w:firstRowFirstColumn="0" w:firstRowLastColumn="0" w:lastRowFirstColumn="0" w:lastRowLastColumn="0"/>
              <w:rPr>
                <w:b w:val="0"/>
                <w:caps w:val="0"/>
              </w:rPr>
            </w:pPr>
            <w:r w:rsidRPr="001D6404">
              <w:t>Reviewed</w:t>
            </w:r>
          </w:p>
        </w:tc>
        <w:tc>
          <w:tcPr>
            <w:tcW w:w="1418" w:type="dxa"/>
          </w:tcPr>
          <w:p w:rsidR="00A9073C" w:rsidRPr="001D6404" w:rsidRDefault="00A9073C" w:rsidP="00AF2C1C">
            <w:pPr>
              <w:spacing w:before="0" w:line="240" w:lineRule="auto"/>
              <w:cnfStyle w:val="100000000000" w:firstRow="1" w:lastRow="0" w:firstColumn="0" w:lastColumn="0" w:oddVBand="0" w:evenVBand="0" w:oddHBand="0" w:evenHBand="0" w:firstRowFirstColumn="0" w:firstRowLastColumn="0" w:lastRowFirstColumn="0" w:lastRowLastColumn="0"/>
              <w:rPr>
                <w:b w:val="0"/>
                <w:caps w:val="0"/>
              </w:rPr>
            </w:pPr>
            <w:r w:rsidRPr="001D6404">
              <w:t>Approv</w:t>
            </w:r>
            <w:r>
              <w:t>ing  authority</w:t>
            </w:r>
          </w:p>
        </w:tc>
        <w:tc>
          <w:tcPr>
            <w:tcW w:w="1417" w:type="dxa"/>
          </w:tcPr>
          <w:p w:rsidR="00A9073C" w:rsidRPr="001D6404" w:rsidRDefault="00A9073C" w:rsidP="00AF2C1C">
            <w:pPr>
              <w:spacing w:before="0" w:line="240" w:lineRule="auto"/>
              <w:cnfStyle w:val="100000000000" w:firstRow="1" w:lastRow="0" w:firstColumn="0" w:lastColumn="0" w:oddVBand="0" w:evenVBand="0" w:oddHBand="0" w:evenHBand="0" w:firstRowFirstColumn="0" w:firstRowLastColumn="0" w:lastRowFirstColumn="0" w:lastRowLastColumn="0"/>
              <w:rPr>
                <w:b w:val="0"/>
                <w:caps w:val="0"/>
              </w:rPr>
            </w:pPr>
            <w:r w:rsidRPr="001D6404">
              <w:t>Approval date</w:t>
            </w:r>
          </w:p>
        </w:tc>
        <w:tc>
          <w:tcPr>
            <w:tcW w:w="992" w:type="dxa"/>
          </w:tcPr>
          <w:p w:rsidR="00A9073C" w:rsidRPr="001D6404" w:rsidRDefault="00A9073C" w:rsidP="00AF2C1C">
            <w:pPr>
              <w:spacing w:before="0" w:line="240" w:lineRule="auto"/>
              <w:cnfStyle w:val="100000000000" w:firstRow="1" w:lastRow="0" w:firstColumn="0" w:lastColumn="0" w:oddVBand="0" w:evenVBand="0" w:oddHBand="0" w:evenHBand="0" w:firstRowFirstColumn="0" w:firstRowLastColumn="0" w:lastRowFirstColumn="0" w:lastRowLastColumn="0"/>
            </w:pPr>
            <w:r>
              <w:t>START DATE</w:t>
            </w:r>
          </w:p>
        </w:tc>
        <w:tc>
          <w:tcPr>
            <w:tcW w:w="980" w:type="dxa"/>
          </w:tcPr>
          <w:p w:rsidR="00A9073C" w:rsidRDefault="00A9073C" w:rsidP="00AF2C1C">
            <w:pPr>
              <w:spacing w:before="0" w:line="240" w:lineRule="auto"/>
              <w:cnfStyle w:val="100000000000" w:firstRow="1" w:lastRow="0" w:firstColumn="0" w:lastColumn="0" w:oddVBand="0" w:evenVBand="0" w:oddHBand="0" w:evenHBand="0" w:firstRowFirstColumn="0" w:firstRowLastColumn="0" w:lastRowFirstColumn="0" w:lastRowLastColumn="0"/>
            </w:pPr>
            <w:r>
              <w:t>NEXT REVIEW</w:t>
            </w:r>
          </w:p>
        </w:tc>
      </w:tr>
      <w:tr w:rsidR="00A9073C" w:rsidTr="003C2B0A">
        <w:tblPrEx>
          <w:tblCellMar>
            <w:top w:w="57" w:type="dxa"/>
          </w:tblCellMar>
        </w:tblPrEx>
        <w:tc>
          <w:tcPr>
            <w:cnfStyle w:val="001000000000" w:firstRow="0" w:lastRow="0" w:firstColumn="1" w:lastColumn="0" w:oddVBand="0" w:evenVBand="0" w:oddHBand="0" w:evenHBand="0" w:firstRowFirstColumn="0" w:firstRowLastColumn="0" w:lastRowFirstColumn="0" w:lastRowLastColumn="0"/>
            <w:tcW w:w="1134" w:type="dxa"/>
          </w:tcPr>
          <w:p w:rsidR="00A9073C" w:rsidRPr="001D6404" w:rsidRDefault="00A9073C" w:rsidP="00AF2C1C">
            <w:pPr>
              <w:spacing w:before="0" w:line="240" w:lineRule="auto"/>
              <w:rPr>
                <w:b w:val="0"/>
              </w:rPr>
            </w:pPr>
            <w:r w:rsidRPr="001D6404">
              <w:t>1.0</w:t>
            </w:r>
          </w:p>
        </w:tc>
        <w:tc>
          <w:tcPr>
            <w:tcW w:w="1276" w:type="dxa"/>
            <w:gridSpan w:val="2"/>
          </w:tcPr>
          <w:p w:rsidR="00A9073C" w:rsidRPr="0034403E" w:rsidRDefault="00A9073C" w:rsidP="00AF2C1C">
            <w:pPr>
              <w:spacing w:before="0" w:line="240" w:lineRule="auto"/>
              <w:cnfStyle w:val="000000000000" w:firstRow="0" w:lastRow="0" w:firstColumn="0" w:lastColumn="0" w:oddVBand="0" w:evenVBand="0" w:oddHBand="0" w:evenHBand="0" w:firstRowFirstColumn="0" w:firstRowLastColumn="0" w:lastRowFirstColumn="0" w:lastRowLastColumn="0"/>
            </w:pPr>
            <w:r>
              <w:t>AGS</w:t>
            </w:r>
          </w:p>
        </w:tc>
        <w:tc>
          <w:tcPr>
            <w:tcW w:w="1134" w:type="dxa"/>
          </w:tcPr>
          <w:p w:rsidR="00A9073C" w:rsidRPr="0034403E" w:rsidRDefault="003C2B0A" w:rsidP="003C2B0A">
            <w:pPr>
              <w:spacing w:before="0" w:line="240" w:lineRule="auto"/>
              <w:ind w:left="-113"/>
              <w:cnfStyle w:val="000000000000" w:firstRow="0" w:lastRow="0" w:firstColumn="0" w:lastColumn="0" w:oddVBand="0" w:evenVBand="0" w:oddHBand="0" w:evenHBand="0" w:firstRowFirstColumn="0" w:firstRowLastColumn="0" w:lastRowFirstColumn="0" w:lastRowLastColumn="0"/>
            </w:pPr>
            <w:r>
              <w:t>University Secretary</w:t>
            </w:r>
          </w:p>
        </w:tc>
        <w:tc>
          <w:tcPr>
            <w:tcW w:w="1276" w:type="dxa"/>
          </w:tcPr>
          <w:p w:rsidR="00A9073C" w:rsidRPr="0034403E" w:rsidRDefault="00A9073C" w:rsidP="00AF2C1C">
            <w:pPr>
              <w:spacing w:before="0" w:line="240" w:lineRule="auto"/>
              <w:cnfStyle w:val="000000000000" w:firstRow="0" w:lastRow="0" w:firstColumn="0" w:lastColumn="0" w:oddVBand="0" w:evenVBand="0" w:oddHBand="0" w:evenHBand="0" w:firstRowFirstColumn="0" w:firstRowLastColumn="0" w:lastRowFirstColumn="0" w:lastRowLastColumn="0"/>
            </w:pPr>
            <w:r>
              <w:t>Annually</w:t>
            </w:r>
          </w:p>
        </w:tc>
        <w:tc>
          <w:tcPr>
            <w:tcW w:w="1418" w:type="dxa"/>
          </w:tcPr>
          <w:p w:rsidR="00A9073C" w:rsidRPr="0034403E" w:rsidRDefault="00A9073C" w:rsidP="00AF2C1C">
            <w:pPr>
              <w:spacing w:before="0" w:line="240" w:lineRule="auto"/>
              <w:cnfStyle w:val="000000000000" w:firstRow="0" w:lastRow="0" w:firstColumn="0" w:lastColumn="0" w:oddVBand="0" w:evenVBand="0" w:oddHBand="0" w:evenHBand="0" w:firstRowFirstColumn="0" w:firstRowLastColumn="0" w:lastRowFirstColumn="0" w:lastRowLastColumn="0"/>
            </w:pPr>
            <w:r>
              <w:t>UEB</w:t>
            </w:r>
          </w:p>
        </w:tc>
        <w:tc>
          <w:tcPr>
            <w:tcW w:w="1417" w:type="dxa"/>
          </w:tcPr>
          <w:p w:rsidR="00A9073C" w:rsidRPr="0034403E" w:rsidRDefault="00A9073C" w:rsidP="00AF2C1C">
            <w:pPr>
              <w:spacing w:before="0" w:line="240" w:lineRule="auto"/>
              <w:cnfStyle w:val="000000000000" w:firstRow="0" w:lastRow="0" w:firstColumn="0" w:lastColumn="0" w:oddVBand="0" w:evenVBand="0" w:oddHBand="0" w:evenHBand="0" w:firstRowFirstColumn="0" w:firstRowLastColumn="0" w:lastRowFirstColumn="0" w:lastRowLastColumn="0"/>
            </w:pPr>
            <w:r>
              <w:t>01/7/15</w:t>
            </w:r>
          </w:p>
        </w:tc>
        <w:tc>
          <w:tcPr>
            <w:tcW w:w="992" w:type="dxa"/>
          </w:tcPr>
          <w:p w:rsidR="00A9073C" w:rsidRPr="0034403E" w:rsidRDefault="00A9073C" w:rsidP="00AF2C1C">
            <w:pPr>
              <w:spacing w:before="0" w:line="240" w:lineRule="auto"/>
              <w:cnfStyle w:val="000000000000" w:firstRow="0" w:lastRow="0" w:firstColumn="0" w:lastColumn="0" w:oddVBand="0" w:evenVBand="0" w:oddHBand="0" w:evenHBand="0" w:firstRowFirstColumn="0" w:firstRowLastColumn="0" w:lastRowFirstColumn="0" w:lastRowLastColumn="0"/>
            </w:pPr>
            <w:r>
              <w:t>01/08/16</w:t>
            </w:r>
          </w:p>
        </w:tc>
        <w:tc>
          <w:tcPr>
            <w:tcW w:w="980" w:type="dxa"/>
          </w:tcPr>
          <w:p w:rsidR="00A9073C" w:rsidRDefault="00A9073C" w:rsidP="00AF2C1C">
            <w:pPr>
              <w:spacing w:before="0" w:line="240" w:lineRule="auto"/>
              <w:cnfStyle w:val="000000000000" w:firstRow="0" w:lastRow="0" w:firstColumn="0" w:lastColumn="0" w:oddVBand="0" w:evenVBand="0" w:oddHBand="0" w:evenHBand="0" w:firstRowFirstColumn="0" w:firstRowLastColumn="0" w:lastRowFirstColumn="0" w:lastRowLastColumn="0"/>
            </w:pPr>
            <w:r>
              <w:t>01/08/17</w:t>
            </w:r>
          </w:p>
        </w:tc>
      </w:tr>
    </w:tbl>
    <w:p w:rsidR="00A9073C" w:rsidRPr="00742CAC" w:rsidRDefault="00A9073C" w:rsidP="00A9073C">
      <w:pPr>
        <w:rPr>
          <w:lang w:eastAsia="en-US"/>
        </w:rPr>
      </w:pPr>
    </w:p>
    <w:sectPr w:rsidR="00A9073C" w:rsidRPr="00742CAC" w:rsidSect="00DB15A0">
      <w:headerReference w:type="default" r:id="rId10"/>
      <w:pgSz w:w="11899" w:h="16840"/>
      <w:pgMar w:top="1134" w:right="737" w:bottom="1134" w:left="1701"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4DA" w:rsidRDefault="003924DA">
      <w:pPr>
        <w:spacing w:before="0" w:line="240" w:lineRule="auto"/>
      </w:pPr>
      <w:r>
        <w:separator/>
      </w:r>
    </w:p>
  </w:endnote>
  <w:endnote w:type="continuationSeparator" w:id="0">
    <w:p w:rsidR="003924DA" w:rsidRDefault="003924DA">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ffra">
    <w:altName w:val="Arial"/>
    <w:charset w:val="00"/>
    <w:family w:val="swiss"/>
    <w:pitch w:val="variable"/>
    <w:sig w:usb0="A00002EF" w:usb1="5000205B" w:usb2="00000008" w:usb3="00000000" w:csb0="0000009F" w:csb1="00000000"/>
    <w:embedRegular r:id="rId1" w:fontKey="{6B9D05C0-3C50-471D-AC47-B8E0F9843509}"/>
    <w:embedBold r:id="rId2" w:fontKey="{9C704FFA-8967-4C47-B7AB-D138F7399AD4}"/>
  </w:font>
  <w:font w:name="Effra Light">
    <w:altName w:val="Arial"/>
    <w:charset w:val="00"/>
    <w:family w:val="swiss"/>
    <w:pitch w:val="variable"/>
    <w:sig w:usb0="A00002EF" w:usb1="5000205B" w:usb2="00000008" w:usb3="00000000" w:csb0="0000009F" w:csb1="00000000"/>
    <w:embedRegular r:id="rId3" w:fontKey="{1E623E6F-6BDE-40D8-945F-9BF8A9E989D6}"/>
    <w:embedBold r:id="rId4" w:fontKey="{546261CC-1052-43B0-8E4E-0D19CC7C99DA}"/>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embedRegular r:id="rId5" w:fontKey="{1F9EDBF5-77E0-4BC5-BE59-C3EDDCB25BDD}"/>
  </w:font>
  <w:font w:name="Effra Bold">
    <w:altName w:val="Arial"/>
    <w:charset w:val="00"/>
    <w:family w:val="swiss"/>
    <w:pitch w:val="variable"/>
    <w:embedRegular r:id="rId6" w:fontKey="{154AD04A-EF2E-4588-BF7A-3EB192B03828}"/>
    <w:embedBold r:id="rId7" w:fontKey="{6650E00F-FE24-4F4A-8562-625C805D16B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4DA" w:rsidRDefault="003924DA">
      <w:pPr>
        <w:spacing w:before="0" w:line="240" w:lineRule="auto"/>
      </w:pPr>
      <w:r>
        <w:separator/>
      </w:r>
    </w:p>
  </w:footnote>
  <w:footnote w:type="continuationSeparator" w:id="0">
    <w:p w:rsidR="003924DA" w:rsidRDefault="003924DA">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10388"/>
      <w:docPartObj>
        <w:docPartGallery w:val="Watermarks"/>
        <w:docPartUnique/>
      </w:docPartObj>
    </w:sdtPr>
    <w:sdtEndPr/>
    <w:sdtContent>
      <w:p w:rsidR="00CF654D" w:rsidRDefault="003924DA">
        <w:pPr>
          <w:pStyle w:val="Header"/>
        </w:pPr>
        <w:r>
          <w:rPr>
            <w:noProof/>
            <w:lang w:val="en-US"/>
          </w:rPr>
          <w:pict w14:anchorId="603941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0C13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800A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0608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D5A76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F78FF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863E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682A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3CCC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1A04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BAE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9408C2"/>
    <w:multiLevelType w:val="hybridMultilevel"/>
    <w:tmpl w:val="14403DB6"/>
    <w:lvl w:ilvl="0" w:tplc="D3A4DBE8">
      <w:start w:val="1"/>
      <w:numFmt w:val="decimal"/>
      <w:pStyle w:val="ListParagraph"/>
      <w:lvlText w:val="%1."/>
      <w:lvlJc w:val="left"/>
      <w:pPr>
        <w:ind w:left="1437" w:hanging="360"/>
      </w:pPr>
      <w:rPr>
        <w:rFonts w:hint="default"/>
        <w:b/>
        <w:i w:val="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B164797"/>
    <w:multiLevelType w:val="hybridMultilevel"/>
    <w:tmpl w:val="48F65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1417076"/>
    <w:multiLevelType w:val="hybridMultilevel"/>
    <w:tmpl w:val="5C9EA2AE"/>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90278F8"/>
    <w:multiLevelType w:val="hybridMultilevel"/>
    <w:tmpl w:val="2422A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A465CD"/>
    <w:multiLevelType w:val="hybridMultilevel"/>
    <w:tmpl w:val="1D1047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653317"/>
    <w:multiLevelType w:val="hybridMultilevel"/>
    <w:tmpl w:val="9078F2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embedTrueTypeFont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A0"/>
    <w:rsid w:val="000215FE"/>
    <w:rsid w:val="000D6421"/>
    <w:rsid w:val="000E1538"/>
    <w:rsid w:val="000F7D30"/>
    <w:rsid w:val="001C30E9"/>
    <w:rsid w:val="001C3813"/>
    <w:rsid w:val="001E773C"/>
    <w:rsid w:val="00220BD0"/>
    <w:rsid w:val="00240765"/>
    <w:rsid w:val="0026274C"/>
    <w:rsid w:val="002E4B52"/>
    <w:rsid w:val="002F286A"/>
    <w:rsid w:val="00303FA9"/>
    <w:rsid w:val="00352B51"/>
    <w:rsid w:val="003924DA"/>
    <w:rsid w:val="00393DBA"/>
    <w:rsid w:val="003A2978"/>
    <w:rsid w:val="003A29BC"/>
    <w:rsid w:val="003C2B0A"/>
    <w:rsid w:val="004865B8"/>
    <w:rsid w:val="004A061C"/>
    <w:rsid w:val="004B392F"/>
    <w:rsid w:val="004C2048"/>
    <w:rsid w:val="004C70AB"/>
    <w:rsid w:val="0053307A"/>
    <w:rsid w:val="00542315"/>
    <w:rsid w:val="00557173"/>
    <w:rsid w:val="005A5774"/>
    <w:rsid w:val="00601B4D"/>
    <w:rsid w:val="00644CE9"/>
    <w:rsid w:val="00657F6C"/>
    <w:rsid w:val="0067781B"/>
    <w:rsid w:val="00685BD1"/>
    <w:rsid w:val="00687A21"/>
    <w:rsid w:val="006940AE"/>
    <w:rsid w:val="006E444B"/>
    <w:rsid w:val="00742CAC"/>
    <w:rsid w:val="0080422D"/>
    <w:rsid w:val="00816545"/>
    <w:rsid w:val="0081705F"/>
    <w:rsid w:val="008177CD"/>
    <w:rsid w:val="00841B35"/>
    <w:rsid w:val="00897F24"/>
    <w:rsid w:val="008E6A26"/>
    <w:rsid w:val="008F1B46"/>
    <w:rsid w:val="009B002C"/>
    <w:rsid w:val="009E3CA3"/>
    <w:rsid w:val="009F7642"/>
    <w:rsid w:val="00A77F9B"/>
    <w:rsid w:val="00A9073C"/>
    <w:rsid w:val="00AA47AB"/>
    <w:rsid w:val="00AA7D7F"/>
    <w:rsid w:val="00C418B0"/>
    <w:rsid w:val="00C5095F"/>
    <w:rsid w:val="00C715E3"/>
    <w:rsid w:val="00CA3E0E"/>
    <w:rsid w:val="00CA610D"/>
    <w:rsid w:val="00CB1F12"/>
    <w:rsid w:val="00CB3EBD"/>
    <w:rsid w:val="00CF654D"/>
    <w:rsid w:val="00D14242"/>
    <w:rsid w:val="00D53C70"/>
    <w:rsid w:val="00DB15A0"/>
    <w:rsid w:val="00DB724A"/>
    <w:rsid w:val="00DF058D"/>
    <w:rsid w:val="00E32920"/>
    <w:rsid w:val="00E6545B"/>
    <w:rsid w:val="00FA126E"/>
    <w:rsid w:val="00FC35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A26B75"/>
  <w15:docId w15:val="{558CBB48-DCC8-46DC-8442-A08BA938A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C70"/>
    <w:pPr>
      <w:spacing w:before="120" w:after="0" w:line="280" w:lineRule="exact"/>
    </w:pPr>
    <w:rPr>
      <w:rFonts w:ascii="Effra Light" w:eastAsia="Times New Roman" w:hAnsi="Effra Light" w:cs="Times New Roman"/>
      <w:lang w:eastAsia="en-GB"/>
    </w:rPr>
  </w:style>
  <w:style w:type="paragraph" w:styleId="Heading1">
    <w:name w:val="heading 1"/>
    <w:next w:val="Normal"/>
    <w:link w:val="Heading1Char"/>
    <w:qFormat/>
    <w:rsid w:val="002F286A"/>
    <w:pPr>
      <w:keepNext/>
      <w:keepLines/>
      <w:spacing w:before="480" w:after="60" w:line="192" w:lineRule="auto"/>
      <w:outlineLvl w:val="0"/>
    </w:pPr>
    <w:rPr>
      <w:rFonts w:ascii="Effra" w:eastAsia="Times New Roman" w:hAnsi="Effra" w:cs="Arial"/>
      <w:b/>
      <w:bCs/>
      <w:caps/>
      <w:color w:val="000000" w:themeColor="accent1"/>
      <w:kern w:val="32"/>
      <w:sz w:val="48"/>
      <w:szCs w:val="32"/>
    </w:rPr>
  </w:style>
  <w:style w:type="paragraph" w:styleId="Heading2">
    <w:name w:val="heading 2"/>
    <w:next w:val="Normal"/>
    <w:link w:val="Heading2Char"/>
    <w:qFormat/>
    <w:rsid w:val="0080422D"/>
    <w:pPr>
      <w:spacing w:before="360" w:after="60" w:line="360" w:lineRule="exact"/>
      <w:outlineLvl w:val="1"/>
    </w:pPr>
    <w:rPr>
      <w:rFonts w:ascii="Effra" w:eastAsia="Times New Roman" w:hAnsi="Effra" w:cs="Arial"/>
      <w:b/>
      <w:iCs/>
      <w:color w:val="000000" w:themeColor="accent1"/>
      <w:kern w:val="32"/>
      <w:sz w:val="36"/>
      <w:szCs w:val="28"/>
    </w:rPr>
  </w:style>
  <w:style w:type="paragraph" w:styleId="Heading3">
    <w:name w:val="heading 3"/>
    <w:next w:val="Normal"/>
    <w:link w:val="Heading3Char"/>
    <w:qFormat/>
    <w:rsid w:val="00AA47AB"/>
    <w:pPr>
      <w:keepNext/>
      <w:spacing w:before="360" w:after="0" w:line="280" w:lineRule="exact"/>
      <w:outlineLvl w:val="2"/>
    </w:pPr>
    <w:rPr>
      <w:rFonts w:ascii="Effra" w:eastAsia="Times New Roman" w:hAnsi="Effra"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286A"/>
    <w:rPr>
      <w:rFonts w:ascii="Effra" w:eastAsia="Times New Roman" w:hAnsi="Effra" w:cs="Arial"/>
      <w:b/>
      <w:bCs/>
      <w:caps/>
      <w:color w:val="000000" w:themeColor="accent1"/>
      <w:kern w:val="32"/>
      <w:sz w:val="48"/>
      <w:szCs w:val="32"/>
    </w:rPr>
  </w:style>
  <w:style w:type="character" w:customStyle="1" w:styleId="Heading2Char">
    <w:name w:val="Heading 2 Char"/>
    <w:basedOn w:val="DefaultParagraphFont"/>
    <w:link w:val="Heading2"/>
    <w:rsid w:val="0080422D"/>
    <w:rPr>
      <w:rFonts w:ascii="Effra" w:eastAsia="Times New Roman" w:hAnsi="Effra" w:cs="Arial"/>
      <w:b/>
      <w:iCs/>
      <w:color w:val="000000" w:themeColor="accent1"/>
      <w:kern w:val="32"/>
      <w:sz w:val="36"/>
      <w:szCs w:val="28"/>
    </w:rPr>
  </w:style>
  <w:style w:type="character" w:customStyle="1" w:styleId="Heading3Char">
    <w:name w:val="Heading 3 Char"/>
    <w:basedOn w:val="DefaultParagraphFont"/>
    <w:link w:val="Heading3"/>
    <w:rsid w:val="00AA47AB"/>
    <w:rPr>
      <w:rFonts w:ascii="Effra" w:eastAsia="Times New Roman" w:hAnsi="Effra" w:cs="Arial"/>
      <w:b/>
      <w:bCs/>
      <w:szCs w:val="26"/>
    </w:rPr>
  </w:style>
  <w:style w:type="paragraph" w:styleId="Header">
    <w:name w:val="header"/>
    <w:aliases w:val="Rdg Header"/>
    <w:link w:val="HeaderChar"/>
    <w:rsid w:val="00AA47AB"/>
    <w:pPr>
      <w:tabs>
        <w:tab w:val="right" w:pos="8505"/>
        <w:tab w:val="right" w:pos="9356"/>
      </w:tabs>
      <w:spacing w:before="120" w:after="0" w:line="280" w:lineRule="exact"/>
    </w:pPr>
    <w:rPr>
      <w:rFonts w:ascii="Effra" w:eastAsia="Times New Roman" w:hAnsi="Effra" w:cs="Times New Roman"/>
      <w:sz w:val="16"/>
      <w:szCs w:val="24"/>
    </w:rPr>
  </w:style>
  <w:style w:type="character" w:customStyle="1" w:styleId="HeaderChar">
    <w:name w:val="Header Char"/>
    <w:aliases w:val="Rdg Header Char"/>
    <w:basedOn w:val="DefaultParagraphFont"/>
    <w:link w:val="Header"/>
    <w:rsid w:val="00AA47AB"/>
    <w:rPr>
      <w:rFonts w:ascii="Effra" w:eastAsia="Times New Roman" w:hAnsi="Effra" w:cs="Times New Roman"/>
      <w:sz w:val="16"/>
      <w:szCs w:val="24"/>
    </w:rPr>
  </w:style>
  <w:style w:type="paragraph" w:customStyle="1" w:styleId="UoRTitle">
    <w:name w:val="UoR Title"/>
    <w:next w:val="Normal"/>
    <w:rsid w:val="002F286A"/>
    <w:pPr>
      <w:overflowPunct w:val="0"/>
      <w:autoSpaceDE w:val="0"/>
      <w:autoSpaceDN w:val="0"/>
      <w:adjustRightInd w:val="0"/>
      <w:snapToGrid w:val="0"/>
      <w:spacing w:before="120" w:after="0" w:line="192" w:lineRule="auto"/>
      <w:textAlignment w:val="baseline"/>
    </w:pPr>
    <w:rPr>
      <w:rFonts w:ascii="Effra" w:eastAsia="Times New Roman" w:hAnsi="Effra" w:cs="Times New Roman"/>
      <w:b/>
      <w:caps/>
      <w:color w:val="000000" w:themeColor="accent1"/>
      <w:sz w:val="84"/>
      <w:szCs w:val="40"/>
      <w:lang w:val="en-US"/>
    </w:rPr>
  </w:style>
  <w:style w:type="paragraph" w:customStyle="1" w:styleId="UoRSubtitle">
    <w:name w:val="UoR Subtitle"/>
    <w:basedOn w:val="UoRTitle"/>
    <w:rsid w:val="002F286A"/>
    <w:rPr>
      <w:caps w:val="0"/>
      <w:color w:val="50535A" w:themeColor="text1"/>
      <w:sz w:val="40"/>
    </w:rPr>
  </w:style>
  <w:style w:type="paragraph" w:customStyle="1" w:styleId="UoRContentslist">
    <w:name w:val="UoR Contents list"/>
    <w:rsid w:val="00AA47AB"/>
    <w:pPr>
      <w:widowControl w:val="0"/>
      <w:tabs>
        <w:tab w:val="right" w:pos="6237"/>
      </w:tabs>
      <w:autoSpaceDE w:val="0"/>
      <w:autoSpaceDN w:val="0"/>
      <w:adjustRightInd w:val="0"/>
      <w:spacing w:before="60" w:after="0" w:line="280" w:lineRule="exact"/>
      <w:ind w:left="2552" w:right="1701" w:hanging="851"/>
    </w:pPr>
    <w:rPr>
      <w:rFonts w:ascii="Effra Light" w:eastAsia="Times New Roman" w:hAnsi="Effra Light" w:cs="Times New Roman"/>
      <w:sz w:val="24"/>
      <w:szCs w:val="24"/>
      <w:lang w:val="en-US"/>
    </w:rPr>
  </w:style>
  <w:style w:type="paragraph" w:customStyle="1" w:styleId="UoRContentsHeader">
    <w:name w:val="UoR Contents Header"/>
    <w:basedOn w:val="UoRContentslist"/>
    <w:rsid w:val="00AA47AB"/>
    <w:pPr>
      <w:spacing w:before="720" w:after="180" w:line="360" w:lineRule="exact"/>
    </w:pPr>
    <w:rPr>
      <w:rFonts w:ascii="Effra" w:hAnsi="Effra"/>
      <w:b/>
      <w:caps/>
      <w:sz w:val="32"/>
    </w:rPr>
  </w:style>
  <w:style w:type="paragraph" w:customStyle="1" w:styleId="UoRIntroduction">
    <w:name w:val="UoR Introduction"/>
    <w:basedOn w:val="Normal"/>
    <w:rsid w:val="00AA47AB"/>
    <w:pPr>
      <w:spacing w:after="60"/>
    </w:pPr>
    <w:rPr>
      <w:rFonts w:ascii="Effra" w:hAnsi="Effra"/>
      <w:b/>
      <w:sz w:val="24"/>
    </w:rPr>
  </w:style>
  <w:style w:type="paragraph" w:styleId="ListParagraph">
    <w:name w:val="List Paragraph"/>
    <w:basedOn w:val="Normal"/>
    <w:uiPriority w:val="34"/>
    <w:qFormat/>
    <w:rsid w:val="00AA47AB"/>
    <w:pPr>
      <w:numPr>
        <w:numId w:val="1"/>
      </w:numPr>
      <w:contextualSpacing/>
    </w:pPr>
  </w:style>
  <w:style w:type="paragraph" w:customStyle="1" w:styleId="UoRUnitname">
    <w:name w:val="UoR Unit name"/>
    <w:rsid w:val="00AA47AB"/>
    <w:pPr>
      <w:spacing w:after="0" w:line="300" w:lineRule="exact"/>
    </w:pPr>
    <w:rPr>
      <w:rFonts w:ascii="Effra" w:eastAsia="Times New Roman" w:hAnsi="Effra" w:cs="Times New Roman"/>
      <w:b/>
      <w:sz w:val="26"/>
      <w:szCs w:val="24"/>
    </w:rPr>
  </w:style>
  <w:style w:type="paragraph" w:customStyle="1" w:styleId="UoRContentsHeader2">
    <w:name w:val="UoR Contents Header 2"/>
    <w:basedOn w:val="UoRContentslist"/>
    <w:rsid w:val="00AA47AB"/>
    <w:pPr>
      <w:spacing w:before="180"/>
    </w:pPr>
    <w:rPr>
      <w:rFonts w:ascii="Effra" w:hAnsi="Effra"/>
      <w:b/>
    </w:rPr>
  </w:style>
  <w:style w:type="paragraph" w:customStyle="1" w:styleId="UoRCaptions">
    <w:name w:val="UoR Captions"/>
    <w:basedOn w:val="Normal"/>
    <w:rsid w:val="00AA47AB"/>
    <w:pPr>
      <w:spacing w:after="240"/>
    </w:pPr>
    <w:rPr>
      <w:sz w:val="18"/>
    </w:rPr>
  </w:style>
  <w:style w:type="paragraph" w:styleId="BalloonText">
    <w:name w:val="Balloon Text"/>
    <w:basedOn w:val="Normal"/>
    <w:link w:val="BalloonTextChar"/>
    <w:uiPriority w:val="99"/>
    <w:semiHidden/>
    <w:unhideWhenUsed/>
    <w:rsid w:val="00AA47A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7AB"/>
    <w:rPr>
      <w:rFonts w:ascii="Tahoma" w:eastAsia="Times New Roman" w:hAnsi="Tahoma" w:cs="Tahoma"/>
      <w:sz w:val="16"/>
      <w:szCs w:val="16"/>
      <w:lang w:eastAsia="en-GB"/>
    </w:rPr>
  </w:style>
  <w:style w:type="paragraph" w:styleId="TOCHeading">
    <w:name w:val="TOC Heading"/>
    <w:basedOn w:val="Heading1"/>
    <w:next w:val="Normal"/>
    <w:uiPriority w:val="39"/>
    <w:unhideWhenUsed/>
    <w:qFormat/>
    <w:rsid w:val="002F286A"/>
    <w:pPr>
      <w:spacing w:after="0" w:line="276" w:lineRule="auto"/>
      <w:outlineLvl w:val="9"/>
    </w:pPr>
    <w:rPr>
      <w:rFonts w:asciiTheme="majorHAnsi" w:eastAsiaTheme="majorEastAsia" w:hAnsiTheme="majorHAnsi" w:cstheme="majorBidi"/>
      <w:caps w:val="0"/>
      <w:kern w:val="0"/>
      <w:sz w:val="28"/>
      <w:szCs w:val="28"/>
      <w:lang w:val="en-US" w:eastAsia="ja-JP"/>
    </w:rPr>
  </w:style>
  <w:style w:type="paragraph" w:styleId="TOC3">
    <w:name w:val="toc 3"/>
    <w:basedOn w:val="Normal"/>
    <w:next w:val="Normal"/>
    <w:autoRedefine/>
    <w:uiPriority w:val="39"/>
    <w:unhideWhenUsed/>
    <w:rsid w:val="002F286A"/>
    <w:pPr>
      <w:spacing w:after="100"/>
      <w:ind w:left="440"/>
    </w:pPr>
  </w:style>
  <w:style w:type="paragraph" w:styleId="TOC1">
    <w:name w:val="toc 1"/>
    <w:basedOn w:val="Normal"/>
    <w:next w:val="Normal"/>
    <w:autoRedefine/>
    <w:uiPriority w:val="39"/>
    <w:unhideWhenUsed/>
    <w:rsid w:val="002F286A"/>
    <w:pPr>
      <w:spacing w:after="100"/>
    </w:pPr>
  </w:style>
  <w:style w:type="paragraph" w:styleId="TOC2">
    <w:name w:val="toc 2"/>
    <w:basedOn w:val="Normal"/>
    <w:next w:val="Normal"/>
    <w:autoRedefine/>
    <w:uiPriority w:val="39"/>
    <w:unhideWhenUsed/>
    <w:rsid w:val="002F286A"/>
    <w:pPr>
      <w:spacing w:after="100"/>
      <w:ind w:left="220"/>
    </w:pPr>
  </w:style>
  <w:style w:type="character" w:styleId="Hyperlink">
    <w:name w:val="Hyperlink"/>
    <w:basedOn w:val="DefaultParagraphFont"/>
    <w:uiPriority w:val="99"/>
    <w:unhideWhenUsed/>
    <w:rsid w:val="002F286A"/>
    <w:rPr>
      <w:color w:val="000000" w:themeColor="hyperlink"/>
      <w:u w:val="single"/>
    </w:rPr>
  </w:style>
  <w:style w:type="character" w:styleId="SubtleReference">
    <w:name w:val="Subtle Reference"/>
    <w:basedOn w:val="DefaultParagraphFont"/>
    <w:uiPriority w:val="31"/>
    <w:qFormat/>
    <w:rsid w:val="000E1538"/>
    <w:rPr>
      <w:smallCaps/>
      <w:color w:val="000000" w:themeColor="accent1"/>
      <w:u w:val="single"/>
    </w:rPr>
  </w:style>
  <w:style w:type="character" w:styleId="IntenseReference">
    <w:name w:val="Intense Reference"/>
    <w:basedOn w:val="DefaultParagraphFont"/>
    <w:uiPriority w:val="32"/>
    <w:qFormat/>
    <w:rsid w:val="000E1538"/>
    <w:rPr>
      <w:b/>
      <w:bCs/>
      <w:smallCaps/>
      <w:color w:val="000000" w:themeColor="accent1"/>
      <w:spacing w:val="5"/>
      <w:u w:val="single"/>
    </w:rPr>
  </w:style>
  <w:style w:type="paragraph" w:styleId="Footer">
    <w:name w:val="footer"/>
    <w:basedOn w:val="Normal"/>
    <w:link w:val="FooterChar"/>
    <w:uiPriority w:val="99"/>
    <w:unhideWhenUsed/>
    <w:rsid w:val="00CA610D"/>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A610D"/>
    <w:rPr>
      <w:rFonts w:ascii="Effra Light" w:eastAsia="Times New Roman" w:hAnsi="Effra Light" w:cs="Times New Roman"/>
      <w:lang w:eastAsia="en-GB"/>
    </w:rPr>
  </w:style>
  <w:style w:type="table" w:customStyle="1" w:styleId="UoRTable">
    <w:name w:val="UoR Table"/>
    <w:basedOn w:val="TableNormal"/>
    <w:uiPriority w:val="99"/>
    <w:rsid w:val="00542315"/>
    <w:pPr>
      <w:spacing w:after="0" w:line="240" w:lineRule="auto"/>
    </w:pPr>
    <w:rPr>
      <w:rFonts w:ascii="Effra" w:eastAsia="Times New Roman" w:hAnsi="Effra" w:cs="Times New Roman"/>
      <w:lang w:eastAsia="en-GB"/>
    </w:rPr>
    <w:tblPr>
      <w:tblBorders>
        <w:top w:val="single" w:sz="4" w:space="0" w:color="auto"/>
        <w:bottom w:val="single" w:sz="4" w:space="0" w:color="auto"/>
        <w:insideH w:val="single" w:sz="4" w:space="0" w:color="auto"/>
      </w:tblBorders>
      <w:tblCellMar>
        <w:top w:w="57" w:type="dxa"/>
        <w:left w:w="113" w:type="dxa"/>
        <w:bottom w:w="113" w:type="dxa"/>
      </w:tblCellMar>
    </w:tblPr>
    <w:tcPr>
      <w:shd w:val="clear" w:color="auto" w:fill="auto"/>
    </w:tcPr>
    <w:tblStylePr w:type="firstRow">
      <w:pPr>
        <w:wordWrap/>
        <w:spacing w:beforeLines="0" w:before="0" w:beforeAutospacing="0"/>
      </w:pPr>
      <w:rPr>
        <w:rFonts w:ascii="Effra" w:hAnsi="Effra"/>
        <w:b/>
        <w:i w:val="0"/>
        <w:caps/>
        <w:smallCaps w:val="0"/>
      </w:rPr>
      <w:tblPr>
        <w:tblCellMar>
          <w:top w:w="113" w:type="dxa"/>
          <w:left w:w="113" w:type="dxa"/>
          <w:bottom w:w="113" w:type="dxa"/>
          <w:right w:w="108" w:type="dxa"/>
        </w:tblCellMar>
      </w:tblPr>
      <w:tcPr>
        <w:tcBorders>
          <w:top w:val="single" w:sz="24" w:space="0" w:color="FFFFFF" w:themeColor="background1"/>
          <w:left w:val="nil"/>
          <w:bottom w:val="nil"/>
          <w:right w:val="nil"/>
          <w:insideH w:val="nil"/>
          <w:insideV w:val="nil"/>
          <w:tl2br w:val="nil"/>
          <w:tr2bl w:val="nil"/>
        </w:tcBorders>
        <w:shd w:val="solid" w:color="auto" w:fill="50535A" w:themeFill="text1"/>
      </w:tcPr>
    </w:tblStylePr>
    <w:tblStylePr w:type="firstCol">
      <w:rPr>
        <w:rFonts w:ascii="Effra" w:hAnsi="Effra"/>
        <w:b/>
        <w:i w:val="0"/>
      </w:rPr>
    </w:tblStylePr>
  </w:style>
  <w:style w:type="character" w:styleId="PlaceholderText">
    <w:name w:val="Placeholder Text"/>
    <w:basedOn w:val="DefaultParagraphFont"/>
    <w:uiPriority w:val="99"/>
    <w:semiHidden/>
    <w:rsid w:val="000F7D3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6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ading.ac.uk/web/files/student-and-academic-services/Visiting_and_Courtesy_Titles.pd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vis01arl\Documents\Custom%20Office%20Templates\UoR-Report-v-11_(Black_and_white).dotx" TargetMode="External"/></Relationships>
</file>

<file path=word/theme/theme1.xml><?xml version="1.0" encoding="utf-8"?>
<a:theme xmlns:a="http://schemas.openxmlformats.org/drawingml/2006/main" name="UoR - Theme">
  <a:themeElements>
    <a:clrScheme name="UoR - Theme">
      <a:dk1>
        <a:srgbClr val="50535A"/>
      </a:dk1>
      <a:lt1>
        <a:srgbClr val="FFFFFF"/>
      </a:lt1>
      <a:dk2>
        <a:srgbClr val="000000"/>
      </a:dk2>
      <a:lt2>
        <a:srgbClr val="E0E0E1"/>
      </a:lt2>
      <a:accent1>
        <a:srgbClr val="000000"/>
      </a:accent1>
      <a:accent2>
        <a:srgbClr val="EF7945"/>
      </a:accent2>
      <a:accent3>
        <a:srgbClr val="009A84"/>
      </a:accent3>
      <a:accent4>
        <a:srgbClr val="8ABD24"/>
      </a:accent4>
      <a:accent5>
        <a:srgbClr val="00AEEF"/>
      </a:accent5>
      <a:accent6>
        <a:srgbClr val="79679C"/>
      </a:accent6>
      <a:hlink>
        <a:srgbClr val="000000"/>
      </a:hlink>
      <a:folHlink>
        <a:srgbClr val="747478"/>
      </a:folHlink>
    </a:clrScheme>
    <a:fontScheme name="UoR - Theme">
      <a:majorFont>
        <a:latin typeface="Effra Bold"/>
        <a:ea typeface=""/>
        <a:cs typeface=""/>
      </a:majorFont>
      <a:minorFont>
        <a:latin typeface="Effra"/>
        <a:ea typeface=""/>
        <a:cs typeface=""/>
      </a:minorFont>
    </a:fontScheme>
    <a:fmtScheme name="UoR -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8100">
          <a:solidFill>
            <a:schemeClr val="accent1"/>
          </a:solidFill>
        </a:ln>
      </a:spPr>
      <a:bodyPr wrap="none">
        <a:spAutoFit/>
      </a:bodyPr>
      <a:lstStyle>
        <a:defPPr>
          <a:defRPr dirty="0">
            <a:solidFill>
              <a:schemeClr val="tx2"/>
            </a:solidFill>
            <a:latin typeface="+mn-lt"/>
          </a:defRPr>
        </a:defPPr>
      </a:lstStyle>
    </a:spDef>
    <a:lnDef>
      <a:spPr bwMode="auto">
        <a:noFill/>
        <a:ln w="38100" cap="flat" cmpd="sng" algn="ctr">
          <a:solidFill>
            <a:schemeClr val="accent1"/>
          </a:solidFill>
          <a:prstDash val="solid"/>
          <a:round/>
          <a:headEnd type="none" w="med" len="med"/>
          <a:tailEnd type="none" w="med" len="me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a:lstStyle/>
    </a:lnDef>
    <a:txDef>
      <a:spPr>
        <a:noFill/>
      </a:spPr>
      <a:bodyPr wrap="square" rtlCol="0">
        <a:spAutoFit/>
      </a:bodyPr>
      <a:lstStyle>
        <a:defPPr>
          <a:defRPr dirty="0" smtClean="0">
            <a:solidFill>
              <a:schemeClr val="tx2"/>
            </a:solidFill>
            <a:latin typeface="+mn-lt"/>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ADF3F-0CCC-444F-9E44-2075FD320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UoR-Report-v-11_(Black_and_white)</Template>
  <TotalTime>0</TotalTime>
  <Pages>1</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UoR Report</vt:lpstr>
    </vt:vector>
  </TitlesOfParts>
  <Company>University of Reading</Company>
  <LinksUpToDate>false</LinksUpToDate>
  <CharactersWithSpaces>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UoR Report</dc:title>
  <dc:creator>Anton Lawrence</dc:creator>
  <cp:lastModifiedBy>Julie Rowe</cp:lastModifiedBy>
  <cp:revision>2</cp:revision>
  <cp:lastPrinted>2017-09-17T19:04:00Z</cp:lastPrinted>
  <dcterms:created xsi:type="dcterms:W3CDTF">2018-10-08T16:04:00Z</dcterms:created>
  <dcterms:modified xsi:type="dcterms:W3CDTF">2018-10-08T16:04:00Z</dcterms:modified>
</cp:coreProperties>
</file>